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cs="仿宋" w:asciiTheme="minorEastAsia" w:hAnsiTheme="minorEastAsia"/>
          <w:b/>
          <w:bCs/>
          <w:sz w:val="32"/>
          <w:szCs w:val="32"/>
        </w:rPr>
      </w:pPr>
      <w:r>
        <w:rPr>
          <w:rFonts w:hint="eastAsia" w:cs="仿宋" w:asciiTheme="minorEastAsia" w:hAnsiTheme="minorEastAsia"/>
          <w:b/>
          <w:bCs/>
          <w:sz w:val="32"/>
          <w:szCs w:val="32"/>
        </w:rPr>
        <w:t>附件一</w:t>
      </w:r>
      <w:r>
        <w:rPr>
          <w:rFonts w:cs="仿宋" w:asciiTheme="minorEastAsia" w:hAnsiTheme="minorEastAsia"/>
          <w:b/>
          <w:bCs/>
          <w:sz w:val="32"/>
          <w:szCs w:val="32"/>
        </w:rPr>
        <w:t>：</w:t>
      </w:r>
    </w:p>
    <w:p>
      <w:pPr>
        <w:jc w:val="center"/>
        <w:rPr>
          <w:rFonts w:ascii="华文中宋" w:hAnsi="华文中宋" w:eastAsia="华文中宋" w:cs="仿宋"/>
          <w:b/>
          <w:bCs/>
          <w:sz w:val="44"/>
          <w:szCs w:val="44"/>
        </w:rPr>
      </w:pPr>
      <w:r>
        <w:rPr>
          <w:rFonts w:hint="eastAsia" w:ascii="华文中宋" w:hAnsi="华文中宋" w:eastAsia="华文中宋" w:cs="仿宋"/>
          <w:b/>
          <w:bCs/>
          <w:sz w:val="44"/>
          <w:szCs w:val="44"/>
        </w:rPr>
        <w:t>德国巴登符腾堡州经济访华团简介</w:t>
      </w:r>
    </w:p>
    <w:p>
      <w:pPr>
        <w:jc w:val="left"/>
        <w:rPr>
          <w:rFonts w:ascii="仿宋" w:hAnsi="仿宋" w:eastAsia="仿宋" w:cs="仿宋"/>
        </w:rPr>
      </w:pPr>
    </w:p>
    <w:p>
      <w:pPr>
        <w:spacing w:line="400" w:lineRule="exact"/>
        <w:ind w:firstLine="480" w:firstLineChars="200"/>
        <w:jc w:val="left"/>
        <w:rPr>
          <w:rFonts w:cs="仿宋" w:asciiTheme="minorEastAsia" w:hAnsiTheme="minorEastAsia"/>
          <w:sz w:val="24"/>
        </w:rPr>
      </w:pPr>
      <w:r>
        <w:rPr>
          <w:rFonts w:hint="eastAsia" w:cs="仿宋" w:asciiTheme="minorEastAsia" w:hAnsiTheme="minorEastAsia"/>
          <w:sz w:val="24"/>
        </w:rPr>
        <w:t>由德国巴登符腾堡州经济、劳工和住建部部长 Nicole Hoffmeister-Kraut 博士率领</w:t>
      </w:r>
      <w:r>
        <w:rPr>
          <w:rFonts w:cs="仿宋" w:asciiTheme="minorEastAsia" w:hAnsiTheme="minorEastAsia"/>
          <w:sz w:val="24"/>
        </w:rPr>
        <w:t>的</w:t>
      </w:r>
      <w:r>
        <w:rPr>
          <w:rFonts w:hint="eastAsia" w:cs="仿宋" w:asciiTheme="minorEastAsia" w:hAnsiTheme="minorEastAsia"/>
          <w:sz w:val="24"/>
        </w:rPr>
        <w:t>德国巴登符腾堡州经济访华团</w:t>
      </w:r>
      <w:bookmarkStart w:id="0" w:name="_GoBack"/>
      <w:bookmarkEnd w:id="0"/>
      <w:r>
        <w:rPr>
          <w:rFonts w:hint="eastAsia" w:cs="仿宋" w:asciiTheme="minorEastAsia" w:hAnsiTheme="minorEastAsia"/>
          <w:sz w:val="24"/>
        </w:rPr>
        <w:t>将于 2019 年 2 月 24 日-3 月 1 日访华。此次随行的德国企业重点在汽车制造、自动化和人工智能。此次代表团中有近 70 家德国人工智能领域（AI）、汽车制造、自动化企业，共90人左右。他们带来了人工智能、汽车制造、自动化等各行业领先技术，希望来华交流寻找合作伙伴，进行技术开发应用合作，共同开拓市场。</w:t>
      </w:r>
    </w:p>
    <w:p>
      <w:pPr>
        <w:jc w:val="left"/>
        <w:rPr>
          <w:rFonts w:ascii="仿宋" w:hAnsi="仿宋" w:eastAsia="仿宋" w:cs="仿宋"/>
        </w:rPr>
      </w:pPr>
      <w:r>
        <w:rPr>
          <w:rFonts w:hint="eastAsia" w:ascii="仿宋" w:hAnsi="仿宋" w:eastAsia="仿宋" w:cs="仿宋"/>
        </w:rPr>
        <w:drawing>
          <wp:inline distT="0" distB="0" distL="114300" distR="114300">
            <wp:extent cx="5271135" cy="1230630"/>
            <wp:effectExtent l="0" t="0" r="1206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t="46875"/>
                    <a:stretch>
                      <a:fillRect/>
                    </a:stretch>
                  </pic:blipFill>
                  <pic:spPr>
                    <a:xfrm>
                      <a:off x="0" y="0"/>
                      <a:ext cx="5271135" cy="1230630"/>
                    </a:xfrm>
                    <a:prstGeom prst="rect">
                      <a:avLst/>
                    </a:prstGeom>
                    <a:noFill/>
                    <a:ln w="9525">
                      <a:noFill/>
                    </a:ln>
                  </pic:spPr>
                </pic:pic>
              </a:graphicData>
            </a:graphic>
          </wp:inline>
        </w:drawing>
      </w:r>
    </w:p>
    <w:p>
      <w:pPr>
        <w:spacing w:line="400" w:lineRule="exact"/>
        <w:ind w:firstLine="480" w:firstLineChars="200"/>
        <w:jc w:val="left"/>
        <w:rPr>
          <w:rFonts w:cs="仿宋" w:asciiTheme="minorEastAsia" w:hAnsiTheme="minorEastAsia"/>
          <w:sz w:val="24"/>
        </w:rPr>
      </w:pPr>
      <w:r>
        <w:rPr>
          <w:rFonts w:hint="eastAsia" w:cs="仿宋" w:asciiTheme="minorEastAsia" w:hAnsiTheme="minorEastAsia"/>
          <w:sz w:val="24"/>
        </w:rPr>
        <w:t>巴登符腾堡州是欧洲最具创新力的地区，并且与全球经济发展地区联系密切——欧洲其他任何地区都无可比拟。2017年，巴登符腾堡州的出口总额达2000亿欧元，创造了新的记录。与此同时，来自巴登符腾堡州的需求也为全球的经济增长和就业做出了贡献：2017年巴登符腾堡州的进口量达1700亿欧元，也达到了历史新高。</w:t>
      </w:r>
    </w:p>
    <w:p>
      <w:pPr>
        <w:spacing w:line="400" w:lineRule="exact"/>
        <w:ind w:firstLine="420"/>
        <w:jc w:val="left"/>
        <w:rPr>
          <w:rFonts w:cs="仿宋" w:asciiTheme="minorEastAsia" w:hAnsiTheme="minorEastAsia"/>
          <w:sz w:val="24"/>
        </w:rPr>
      </w:pPr>
      <w:r>
        <w:rPr>
          <w:rFonts w:hint="eastAsia" w:cs="仿宋" w:asciiTheme="minorEastAsia" w:hAnsiTheme="minorEastAsia"/>
          <w:sz w:val="24"/>
        </w:rPr>
        <w:t>巴登符腾堡州不仅有众多著名的跨国公司，诸如戴姆勒、博世、保时捷、SAP，同时也云集了无数的中小企业，正是他们构成了巴登符腾堡州经济的中流砥柱。巴登符腾堡州的经济结构多姿多彩，其中的一个重要支柱是汽车制造业。除了传统的汽车和航空航天产业，电动汽车等可持续发展的新型交通工具也在经济发展中占有重要一席。机械装备制造也是巴登符腾堡州的重要产业支柱，产量占全德国三分之一。许多著名的企业，如费斯托、通快、福伊特都是在这里起步，走向成功。</w:t>
      </w:r>
    </w:p>
    <w:p>
      <w:pPr>
        <w:spacing w:line="400" w:lineRule="exact"/>
        <w:ind w:firstLine="480" w:firstLineChars="200"/>
        <w:jc w:val="left"/>
        <w:rPr>
          <w:rFonts w:cs="仿宋" w:asciiTheme="minorEastAsia" w:hAnsiTheme="minorEastAsia"/>
          <w:sz w:val="24"/>
        </w:rPr>
      </w:pPr>
      <w:r>
        <w:rPr>
          <w:rFonts w:hint="eastAsia" w:cs="仿宋" w:asciiTheme="minorEastAsia" w:hAnsiTheme="minorEastAsia"/>
          <w:sz w:val="24"/>
        </w:rPr>
        <w:t>无论在研</w:t>
      </w:r>
      <w:r>
        <w:rPr>
          <w:rFonts w:hint="eastAsia" w:cs="仿宋" w:asciiTheme="minorEastAsia" w:hAnsiTheme="minorEastAsia"/>
          <w:sz w:val="24"/>
          <w:lang w:val="en-US" w:eastAsia="zh-CN"/>
        </w:rPr>
        <w:t>发</w:t>
      </w:r>
      <w:r>
        <w:rPr>
          <w:rFonts w:hint="eastAsia" w:cs="仿宋" w:asciiTheme="minorEastAsia" w:hAnsiTheme="minorEastAsia"/>
          <w:sz w:val="24"/>
        </w:rPr>
        <w:t>，还是在技术转移或数字化领域，巴登符腾堡州与中国已拥有几十年的悠久传统，大量的巴登符腾堡州企业已进入中国市场，而中国企业在巴登符腾堡州的投资也不断增长。2017年，巴登符腾堡州与中国的贸易总额达270亿欧元。</w:t>
      </w:r>
    </w:p>
    <w:p>
      <w:pPr>
        <w:jc w:val="left"/>
        <w:rPr>
          <w:rFonts w:ascii="仿宋" w:hAnsi="仿宋" w:eastAsia="仿宋" w:cs="仿宋"/>
        </w:rPr>
      </w:pPr>
      <w:r>
        <w:rPr>
          <w:rFonts w:hint="eastAsia" w:ascii="仿宋" w:hAnsi="仿宋" w:eastAsia="仿宋" w:cs="仿宋"/>
        </w:rPr>
        <w:drawing>
          <wp:inline distT="0" distB="0" distL="114300" distR="114300">
            <wp:extent cx="5320665" cy="1075690"/>
            <wp:effectExtent l="0" t="0" r="63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320665" cy="1075690"/>
                    </a:xfrm>
                    <a:prstGeom prst="rect">
                      <a:avLst/>
                    </a:prstGeom>
                    <a:noFill/>
                    <a:ln w="9525">
                      <a:noFill/>
                    </a:ln>
                  </pic:spPr>
                </pic:pic>
              </a:graphicData>
            </a:graphic>
          </wp:inline>
        </w:drawing>
      </w:r>
      <w:r>
        <w:rPr>
          <w:rFonts w:hint="eastAsia" w:ascii="仿宋" w:hAnsi="仿宋" w:eastAsia="仿宋" w:cs="仿宋"/>
        </w:rPr>
        <w:drawing>
          <wp:inline distT="0" distB="0" distL="114300" distR="114300">
            <wp:extent cx="5309870" cy="1082040"/>
            <wp:effectExtent l="0" t="0" r="11430"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309870" cy="1082040"/>
                    </a:xfrm>
                    <a:prstGeom prst="rect">
                      <a:avLst/>
                    </a:prstGeom>
                    <a:noFill/>
                    <a:ln w="9525">
                      <a:noFill/>
                    </a:ln>
                  </pic:spPr>
                </pic:pic>
              </a:graphicData>
            </a:graphic>
          </wp:inline>
        </w:drawing>
      </w:r>
    </w:p>
    <w:p>
      <w:pPr>
        <w:jc w:val="left"/>
        <w:rPr>
          <w:rFonts w:ascii="仿宋" w:hAnsi="仿宋" w:eastAsia="仿宋" w:cs="仿宋"/>
        </w:rPr>
      </w:pPr>
      <w:r>
        <w:rPr>
          <w:rFonts w:hint="eastAsia" w:ascii="仿宋" w:hAnsi="仿宋" w:eastAsia="仿宋" w:cs="仿宋"/>
        </w:rPr>
        <w:drawing>
          <wp:inline distT="0" distB="0" distL="114300" distR="114300">
            <wp:extent cx="5327650" cy="5614670"/>
            <wp:effectExtent l="0" t="0" r="6350"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327650" cy="5614670"/>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DE56EA7"/>
    <w:rsid w:val="001F64E4"/>
    <w:rsid w:val="00BA09B6"/>
    <w:rsid w:val="059719E7"/>
    <w:rsid w:val="065931B0"/>
    <w:rsid w:val="11492005"/>
    <w:rsid w:val="19CA47BC"/>
    <w:rsid w:val="245A68AF"/>
    <w:rsid w:val="37593AC5"/>
    <w:rsid w:val="3A821CE9"/>
    <w:rsid w:val="3D1E786D"/>
    <w:rsid w:val="3E153FA9"/>
    <w:rsid w:val="3EE35116"/>
    <w:rsid w:val="470A2C6B"/>
    <w:rsid w:val="66D76E83"/>
    <w:rsid w:val="6DE56EA7"/>
    <w:rsid w:val="73E728FA"/>
    <w:rsid w:val="7B543D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SIAT</Company>
  <Pages>2</Pages>
  <Words>109</Words>
  <Characters>624</Characters>
  <Lines>5</Lines>
  <Paragraphs>1</Paragraphs>
  <TotalTime>5</TotalTime>
  <ScaleCrop>false</ScaleCrop>
  <LinksUpToDate>false</LinksUpToDate>
  <CharactersWithSpaces>732</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2019-02-20T03:17:00Z</dcterms:created>
  <dc:creator>刘强</dc:creator>
  <cp:lastModifiedBy>谢晓玲LY</cp:lastModifiedBy>
  <dcterms:modified xsi:type="dcterms:W3CDTF">2019-02-20T08:00:00Z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